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8" w:rsidRPr="00642874" w:rsidRDefault="00642874" w:rsidP="00642874">
      <w:pPr>
        <w:jc w:val="center"/>
        <w:rPr>
          <w:b/>
          <w:sz w:val="40"/>
          <w:szCs w:val="40"/>
        </w:rPr>
      </w:pPr>
      <w:r w:rsidRPr="00642874">
        <w:rPr>
          <w:b/>
          <w:sz w:val="40"/>
          <w:szCs w:val="40"/>
        </w:rPr>
        <w:t>Protocole NAC  - N-acétyl-cystéine</w:t>
      </w:r>
    </w:p>
    <w:p w:rsidR="00642874" w:rsidRDefault="00642874"/>
    <w:p w:rsidR="00642874" w:rsidRPr="00642874" w:rsidRDefault="00642874" w:rsidP="00642874">
      <w:pPr>
        <w:spacing w:after="0" w:line="240" w:lineRule="auto"/>
        <w:rPr>
          <w:b/>
          <w:sz w:val="40"/>
          <w:szCs w:val="40"/>
        </w:rPr>
      </w:pPr>
      <w:r w:rsidRPr="00642874">
        <w:rPr>
          <w:b/>
          <w:sz w:val="40"/>
          <w:szCs w:val="40"/>
          <w:u w:val="single"/>
        </w:rPr>
        <w:t>Indication</w:t>
      </w:r>
      <w:r>
        <w:rPr>
          <w:b/>
          <w:sz w:val="40"/>
          <w:szCs w:val="40"/>
          <w:u w:val="single"/>
        </w:rPr>
        <w:t>s</w:t>
      </w:r>
      <w:r w:rsidRPr="00642874">
        <w:rPr>
          <w:b/>
          <w:sz w:val="40"/>
          <w:szCs w:val="40"/>
        </w:rPr>
        <w:t> :</w:t>
      </w:r>
    </w:p>
    <w:p w:rsidR="00642874" w:rsidRDefault="00642874" w:rsidP="00642874">
      <w:pPr>
        <w:spacing w:after="0" w:line="240" w:lineRule="auto"/>
        <w:rPr>
          <w:b/>
          <w:sz w:val="24"/>
          <w:szCs w:val="24"/>
        </w:rPr>
      </w:pPr>
    </w:p>
    <w:p w:rsidR="00642874" w:rsidRDefault="00642874" w:rsidP="00782C9F">
      <w:pPr>
        <w:spacing w:after="0" w:line="240" w:lineRule="auto"/>
        <w:jc w:val="both"/>
        <w:rPr>
          <w:b/>
          <w:sz w:val="24"/>
          <w:szCs w:val="24"/>
        </w:rPr>
      </w:pPr>
      <w:r w:rsidRPr="00642874">
        <w:rPr>
          <w:b/>
          <w:sz w:val="24"/>
          <w:szCs w:val="24"/>
        </w:rPr>
        <w:t>Intoxication au</w:t>
      </w:r>
      <w:r>
        <w:rPr>
          <w:b/>
          <w:sz w:val="24"/>
          <w:szCs w:val="24"/>
        </w:rPr>
        <w:t xml:space="preserve"> paracétamol </w:t>
      </w:r>
      <w:r w:rsidR="00782C9F">
        <w:rPr>
          <w:b/>
          <w:sz w:val="24"/>
          <w:szCs w:val="24"/>
        </w:rPr>
        <w:t>(</w:t>
      </w:r>
      <w:r w:rsidR="00782C9F" w:rsidRPr="00782C9F">
        <w:rPr>
          <w:b/>
          <w:sz w:val="24"/>
          <w:szCs w:val="24"/>
          <w:highlight w:val="yellow"/>
        </w:rPr>
        <w:t>recommandation Forte</w:t>
      </w:r>
      <w:r w:rsidR="00782C9F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:</w:t>
      </w:r>
    </w:p>
    <w:p w:rsidR="00642874" w:rsidRDefault="00642874" w:rsidP="00782C9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6428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Dose de charge sur 5 h puis entretien 16h </w:t>
      </w:r>
    </w:p>
    <w:p w:rsidR="00642874" w:rsidRDefault="00642874" w:rsidP="00782C9F">
      <w:pPr>
        <w:spacing w:after="0" w:line="240" w:lineRule="auto"/>
        <w:jc w:val="both"/>
        <w:rPr>
          <w:b/>
          <w:sz w:val="24"/>
          <w:szCs w:val="24"/>
        </w:rPr>
      </w:pPr>
    </w:p>
    <w:p w:rsidR="00642874" w:rsidRPr="00642874" w:rsidRDefault="00642874" w:rsidP="00782C9F">
      <w:pPr>
        <w:spacing w:after="0" w:line="240" w:lineRule="auto"/>
        <w:jc w:val="both"/>
        <w:rPr>
          <w:b/>
          <w:sz w:val="24"/>
          <w:szCs w:val="24"/>
        </w:rPr>
      </w:pPr>
      <w:r w:rsidRPr="00642874">
        <w:rPr>
          <w:b/>
          <w:sz w:val="24"/>
          <w:szCs w:val="24"/>
        </w:rPr>
        <w:t>Insuffisance hépatique aiguë post-choc </w:t>
      </w:r>
      <w:r w:rsidR="00782C9F">
        <w:rPr>
          <w:b/>
          <w:sz w:val="24"/>
          <w:szCs w:val="24"/>
        </w:rPr>
        <w:t>(</w:t>
      </w:r>
      <w:r w:rsidR="00782C9F" w:rsidRPr="00782C9F">
        <w:rPr>
          <w:b/>
          <w:sz w:val="24"/>
          <w:szCs w:val="24"/>
          <w:highlight w:val="yellow"/>
        </w:rPr>
        <w:t xml:space="preserve">recommandation </w:t>
      </w:r>
      <w:r w:rsidR="00782C9F" w:rsidRPr="00782C9F">
        <w:rPr>
          <w:b/>
          <w:sz w:val="24"/>
          <w:szCs w:val="24"/>
          <w:highlight w:val="yellow"/>
        </w:rPr>
        <w:t>Faible</w:t>
      </w:r>
      <w:r w:rsidR="00782C9F">
        <w:rPr>
          <w:b/>
          <w:sz w:val="24"/>
          <w:szCs w:val="24"/>
        </w:rPr>
        <w:t>)</w:t>
      </w:r>
      <w:r w:rsidR="00782C9F">
        <w:rPr>
          <w:b/>
          <w:sz w:val="24"/>
          <w:szCs w:val="24"/>
        </w:rPr>
        <w:t xml:space="preserve"> </w:t>
      </w:r>
      <w:r w:rsidRPr="00642874">
        <w:rPr>
          <w:b/>
          <w:sz w:val="24"/>
          <w:szCs w:val="24"/>
        </w:rPr>
        <w:t>:</w:t>
      </w:r>
      <w:r w:rsidR="00782C9F">
        <w:rPr>
          <w:b/>
          <w:sz w:val="24"/>
          <w:szCs w:val="24"/>
        </w:rPr>
        <w:t xml:space="preserve"> </w:t>
      </w:r>
    </w:p>
    <w:p w:rsidR="00642874" w:rsidRDefault="00642874" w:rsidP="00782C9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6428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Dose de charge sur 5 h puis entretien </w:t>
      </w:r>
      <w:r>
        <w:rPr>
          <w:b/>
          <w:sz w:val="24"/>
          <w:szCs w:val="24"/>
        </w:rPr>
        <w:t>sur 24 heures pendant 4 à 7 jours selon bilan hépatique.</w:t>
      </w:r>
    </w:p>
    <w:p w:rsidR="00782C9F" w:rsidRPr="00782C9F" w:rsidRDefault="00782C9F" w:rsidP="00782C9F">
      <w:pPr>
        <w:spacing w:after="0" w:line="240" w:lineRule="auto"/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2243"/>
        <w:gridCol w:w="2352"/>
        <w:gridCol w:w="1273"/>
        <w:gridCol w:w="1273"/>
      </w:tblGrid>
      <w:tr w:rsidR="005A4304" w:rsidRPr="00B72728" w:rsidTr="005A4304">
        <w:trPr>
          <w:trHeight w:val="54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 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Charge (g)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Entretien (g)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150 mg/Kg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12,5 mg/Kg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6,25 mg/Kg/h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Poids (Kg)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1 h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4 h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16 h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24 h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:rsidR="00616C9B" w:rsidRPr="00616C9B" w:rsidRDefault="00616C9B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16C9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Dilution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:rsidR="00616C9B" w:rsidRPr="00616C9B" w:rsidRDefault="00616C9B" w:rsidP="00616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16C9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200 ml</w:t>
            </w:r>
            <w:r w:rsidR="005A430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*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:rsidR="00616C9B" w:rsidRPr="00616C9B" w:rsidRDefault="00616C9B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16C9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500 ml</w:t>
            </w:r>
            <w:r w:rsidR="005A430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*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:rsidR="00616C9B" w:rsidRPr="00616C9B" w:rsidRDefault="00616C9B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616C9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 L</w:t>
            </w:r>
            <w:r w:rsidR="005A430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*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</w:tcPr>
          <w:p w:rsidR="00616C9B" w:rsidRDefault="005A4304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  <w:t>**</w:t>
            </w:r>
          </w:p>
          <w:p w:rsidR="005A4304" w:rsidRPr="005A4304" w:rsidRDefault="005A4304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5A43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mg/ml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50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7,5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2,5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7,5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60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9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9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70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10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10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80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12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12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90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13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13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15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15</w:t>
            </w:r>
          </w:p>
        </w:tc>
      </w:tr>
      <w:tr w:rsidR="005A4304" w:rsidRPr="00B72728" w:rsidTr="005A4304">
        <w:trPr>
          <w:trHeight w:val="54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>110</w:t>
            </w:r>
            <w:r w:rsidR="00616C9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 </w:t>
            </w:r>
            <w:r w:rsidR="00616C9B" w:rsidRPr="00616C9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vertAlign w:val="superscript"/>
                <w:lang w:eastAsia="fr-FR"/>
              </w:rPr>
              <w:t>*</w:t>
            </w:r>
            <w:r w:rsidR="005A430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vertAlign w:val="superscript"/>
                <w:lang w:eastAsia="fr-FR"/>
              </w:rPr>
              <w:t>*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16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28" w:rsidRPr="00B72728" w:rsidRDefault="00B72728" w:rsidP="00B72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7272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  <w:t>16</w:t>
            </w:r>
          </w:p>
        </w:tc>
      </w:tr>
      <w:tr w:rsidR="005A4304" w:rsidRPr="00B72728" w:rsidTr="005A4304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304" w:rsidRDefault="005A4304" w:rsidP="005A43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* Recommandations Vidal dans les intoxications au parac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ét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amol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** La solution est stable à 60 mg/ml permettant l’administration de la grande majorité des doses dans 250 ml de solution notamment en cas de restriction hydrique   *</w:t>
            </w:r>
            <w:r w:rsidRPr="00616C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*</w:t>
            </w:r>
            <w:r w:rsidRPr="00616C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Poids plafond.</w:t>
            </w:r>
          </w:p>
          <w:p w:rsidR="005A4304" w:rsidRPr="00B72728" w:rsidRDefault="005A4304" w:rsidP="00B72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560C1" w:rsidRPr="00F04818" w:rsidRDefault="00D8073A" w:rsidP="00616C9B">
      <w:pPr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F048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A disposition HIDONAC® Flacon de 25 ml (5g) à </w:t>
      </w:r>
      <w:r w:rsidRPr="00B7272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diluer dans du G5%</w:t>
      </w:r>
      <w:r w:rsidR="00616C9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(Sérum physiologique également possible).</w:t>
      </w:r>
    </w:p>
    <w:p w:rsidR="00C560C1" w:rsidRPr="00F04818" w:rsidRDefault="00F04818">
      <w:pPr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F04818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Conservation à l’abri de la lumière – Stable 24 h en perfusion à température ambiante. </w:t>
      </w:r>
    </w:p>
    <w:p w:rsidR="00C560C1" w:rsidRDefault="00C560C1" w:rsidP="005A4304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  <w:r w:rsidRPr="00F04818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fr-FR"/>
        </w:rPr>
        <w:lastRenderedPageBreak/>
        <w:t>Effets indésirables</w:t>
      </w:r>
      <w:r w:rsidR="00F04818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 :</w:t>
      </w:r>
      <w:r w:rsidR="00F04818" w:rsidRPr="00F04818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 xml:space="preserve"> </w:t>
      </w:r>
    </w:p>
    <w:p w:rsidR="009E5587" w:rsidRPr="00F04818" w:rsidRDefault="009E5587" w:rsidP="005A4304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fr-FR"/>
        </w:rPr>
      </w:pPr>
    </w:p>
    <w:p w:rsidR="00C560C1" w:rsidRPr="00C560C1" w:rsidRDefault="00C560C1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560C1">
        <w:rPr>
          <w:rFonts w:eastAsia="Times New Roman" w:cstheme="minorHAnsi"/>
          <w:b/>
          <w:bCs/>
          <w:sz w:val="27"/>
          <w:szCs w:val="27"/>
          <w:lang w:eastAsia="fr-FR"/>
        </w:rPr>
        <w:t>1. Réactions allergiques et hypersensibilité</w:t>
      </w:r>
      <w:r w:rsidR="00F04818">
        <w:rPr>
          <w:rFonts w:eastAsia="Times New Roman" w:cstheme="minorHAnsi"/>
          <w:b/>
          <w:bCs/>
          <w:sz w:val="27"/>
          <w:szCs w:val="27"/>
          <w:lang w:eastAsia="fr-FR"/>
        </w:rPr>
        <w:t> : rares</w:t>
      </w:r>
    </w:p>
    <w:p w:rsidR="00C560C1" w:rsidRPr="00C560C1" w:rsidRDefault="00C560C1" w:rsidP="005A430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b/>
          <w:bCs/>
          <w:sz w:val="24"/>
          <w:szCs w:val="24"/>
          <w:lang w:eastAsia="fr-FR"/>
        </w:rPr>
        <w:t>Légères à modérées</w:t>
      </w:r>
      <w:r w:rsidRPr="00C560C1">
        <w:rPr>
          <w:rFonts w:eastAsia="Times New Roman" w:cstheme="minorHAnsi"/>
          <w:sz w:val="24"/>
          <w:szCs w:val="24"/>
          <w:lang w:eastAsia="fr-FR"/>
        </w:rPr>
        <w:t xml:space="preserve"> : Éruption cutanée, démangeaisons, urticaire.</w:t>
      </w:r>
    </w:p>
    <w:p w:rsidR="00C560C1" w:rsidRPr="00C560C1" w:rsidRDefault="00C560C1" w:rsidP="005A430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b/>
          <w:bCs/>
          <w:sz w:val="24"/>
          <w:szCs w:val="24"/>
          <w:lang w:eastAsia="fr-FR"/>
        </w:rPr>
        <w:t>Graves</w:t>
      </w:r>
      <w:r w:rsidRPr="00C560C1">
        <w:rPr>
          <w:rFonts w:eastAsia="Times New Roman" w:cstheme="minorHAnsi"/>
          <w:sz w:val="24"/>
          <w:szCs w:val="24"/>
          <w:lang w:eastAsia="fr-FR"/>
        </w:rPr>
        <w:t xml:space="preserve"> : Réactions </w:t>
      </w:r>
      <w:proofErr w:type="spellStart"/>
      <w:r w:rsidRPr="00C560C1">
        <w:rPr>
          <w:rFonts w:eastAsia="Times New Roman" w:cstheme="minorHAnsi"/>
          <w:sz w:val="24"/>
          <w:szCs w:val="24"/>
          <w:lang w:eastAsia="fr-FR"/>
        </w:rPr>
        <w:t>anaphylactoïdes</w:t>
      </w:r>
      <w:proofErr w:type="spellEnd"/>
      <w:r w:rsidRPr="00C560C1">
        <w:rPr>
          <w:rFonts w:eastAsia="Times New Roman" w:cstheme="minorHAnsi"/>
          <w:sz w:val="24"/>
          <w:szCs w:val="24"/>
          <w:lang w:eastAsia="fr-FR"/>
        </w:rPr>
        <w:t>, se manifestant par un bronchospasme, un œdème de Quincke, une hypotension ou un choc. Ces réactions sont plus fréquentes avec l'administration rapide ou à forte dose.</w:t>
      </w:r>
    </w:p>
    <w:p w:rsidR="00C560C1" w:rsidRPr="00C560C1" w:rsidRDefault="00C560C1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560C1">
        <w:rPr>
          <w:rFonts w:eastAsia="Times New Roman" w:cstheme="minorHAnsi"/>
          <w:b/>
          <w:bCs/>
          <w:sz w:val="27"/>
          <w:szCs w:val="27"/>
          <w:lang w:eastAsia="fr-FR"/>
        </w:rPr>
        <w:t>2. Effets gastro-intestinaux</w:t>
      </w:r>
      <w:r w:rsidR="00F04818">
        <w:rPr>
          <w:rFonts w:eastAsia="Times New Roman" w:cstheme="minorHAnsi"/>
          <w:b/>
          <w:bCs/>
          <w:sz w:val="27"/>
          <w:szCs w:val="27"/>
          <w:lang w:eastAsia="fr-FR"/>
        </w:rPr>
        <w:t> : fréquents</w:t>
      </w:r>
    </w:p>
    <w:p w:rsidR="00C560C1" w:rsidRPr="00C560C1" w:rsidRDefault="00C560C1" w:rsidP="005A43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Nausées.</w:t>
      </w:r>
    </w:p>
    <w:p w:rsidR="00C560C1" w:rsidRPr="00C560C1" w:rsidRDefault="00C560C1" w:rsidP="005A43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Vomissements</w:t>
      </w:r>
      <w:r w:rsidRPr="00C560C1">
        <w:rPr>
          <w:rFonts w:eastAsia="Times New Roman" w:cstheme="minorHAnsi"/>
          <w:sz w:val="24"/>
          <w:szCs w:val="24"/>
          <w:lang w:eastAsia="fr-FR"/>
        </w:rPr>
        <w:t>, surtout en cas de perfusion trop rapide.</w:t>
      </w:r>
    </w:p>
    <w:p w:rsidR="00C560C1" w:rsidRPr="00C560C1" w:rsidRDefault="00C560C1" w:rsidP="005A43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Douleurs abdominales.</w:t>
      </w:r>
      <w:r w:rsidR="00F04818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C560C1" w:rsidRPr="00C560C1" w:rsidRDefault="00C560C1" w:rsidP="005A430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Diarrhées.</w:t>
      </w:r>
    </w:p>
    <w:p w:rsidR="00C560C1" w:rsidRPr="00C560C1" w:rsidRDefault="00C560C1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560C1">
        <w:rPr>
          <w:rFonts w:eastAsia="Times New Roman" w:cstheme="minorHAnsi"/>
          <w:b/>
          <w:bCs/>
          <w:sz w:val="27"/>
          <w:szCs w:val="27"/>
          <w:lang w:eastAsia="fr-FR"/>
        </w:rPr>
        <w:t>3. Effets sur le système cardiovasculaire</w:t>
      </w:r>
      <w:r w:rsidR="00F04818">
        <w:rPr>
          <w:rFonts w:eastAsia="Times New Roman" w:cstheme="minorHAnsi"/>
          <w:b/>
          <w:bCs/>
          <w:sz w:val="27"/>
          <w:szCs w:val="27"/>
          <w:lang w:eastAsia="fr-FR"/>
        </w:rPr>
        <w:t xml:space="preserve"> </w:t>
      </w:r>
    </w:p>
    <w:p w:rsidR="00C560C1" w:rsidRPr="00C560C1" w:rsidRDefault="00C560C1" w:rsidP="005A430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Tachycardie.</w:t>
      </w:r>
    </w:p>
    <w:p w:rsidR="00C560C1" w:rsidRPr="00C560C1" w:rsidRDefault="00C560C1" w:rsidP="005A430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Hypotension, surtout en cas de perfusion trop rapide.</w:t>
      </w:r>
    </w:p>
    <w:p w:rsidR="00C560C1" w:rsidRPr="00C560C1" w:rsidRDefault="00C560C1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560C1">
        <w:rPr>
          <w:rFonts w:eastAsia="Times New Roman" w:cstheme="minorHAnsi"/>
          <w:b/>
          <w:bCs/>
          <w:sz w:val="27"/>
          <w:szCs w:val="27"/>
          <w:lang w:eastAsia="fr-FR"/>
        </w:rPr>
        <w:t>4. Effets respiratoires</w:t>
      </w:r>
      <w:r w:rsidR="00F04818">
        <w:rPr>
          <w:rFonts w:eastAsia="Times New Roman" w:cstheme="minorHAnsi"/>
          <w:b/>
          <w:bCs/>
          <w:sz w:val="27"/>
          <w:szCs w:val="27"/>
          <w:lang w:eastAsia="fr-FR"/>
        </w:rPr>
        <w:t> : rares</w:t>
      </w:r>
    </w:p>
    <w:p w:rsidR="00C560C1" w:rsidRPr="00C560C1" w:rsidRDefault="00C560C1" w:rsidP="005A430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Bronchospasme, principalement chez les patients asthmatiques ou prédisposés.</w:t>
      </w:r>
    </w:p>
    <w:p w:rsidR="00C560C1" w:rsidRPr="00C560C1" w:rsidRDefault="00C560C1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560C1">
        <w:rPr>
          <w:rFonts w:eastAsia="Times New Roman" w:cstheme="minorHAnsi"/>
          <w:b/>
          <w:bCs/>
          <w:sz w:val="27"/>
          <w:szCs w:val="27"/>
          <w:lang w:eastAsia="fr-FR"/>
        </w:rPr>
        <w:t>5. Effets sur le système nerveux</w:t>
      </w:r>
    </w:p>
    <w:p w:rsidR="00C560C1" w:rsidRPr="00C560C1" w:rsidRDefault="00C560C1" w:rsidP="005A430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Céphalées.</w:t>
      </w:r>
    </w:p>
    <w:p w:rsidR="00C560C1" w:rsidRPr="00C560C1" w:rsidRDefault="00C560C1" w:rsidP="005A430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Sensation de malaise ou d'oppression.</w:t>
      </w:r>
    </w:p>
    <w:p w:rsidR="00C560C1" w:rsidRDefault="00C560C1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>
        <w:rPr>
          <w:rFonts w:eastAsia="Times New Roman" w:cstheme="minorHAnsi"/>
          <w:b/>
          <w:bCs/>
          <w:sz w:val="27"/>
          <w:szCs w:val="27"/>
          <w:lang w:eastAsia="fr-FR"/>
        </w:rPr>
        <w:t>6. Métaboliques</w:t>
      </w:r>
    </w:p>
    <w:p w:rsidR="00C560C1" w:rsidRPr="00C560C1" w:rsidRDefault="00C560C1" w:rsidP="005A430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Surcharge hydro</w:t>
      </w:r>
      <w:r w:rsidR="00F04818">
        <w:rPr>
          <w:rFonts w:eastAsia="Times New Roman" w:cstheme="minorHAnsi"/>
          <w:sz w:val="24"/>
          <w:szCs w:val="24"/>
          <w:lang w:eastAsia="fr-FR"/>
        </w:rPr>
        <w:t>s</w:t>
      </w:r>
      <w:r>
        <w:rPr>
          <w:rFonts w:eastAsia="Times New Roman" w:cstheme="minorHAnsi"/>
          <w:sz w:val="24"/>
          <w:szCs w:val="24"/>
          <w:lang w:eastAsia="fr-FR"/>
        </w:rPr>
        <w:t>o</w:t>
      </w:r>
      <w:r w:rsidR="00F04818">
        <w:rPr>
          <w:rFonts w:eastAsia="Times New Roman" w:cstheme="minorHAnsi"/>
          <w:sz w:val="24"/>
          <w:szCs w:val="24"/>
          <w:lang w:eastAsia="fr-FR"/>
        </w:rPr>
        <w:t>d</w:t>
      </w:r>
      <w:r>
        <w:rPr>
          <w:rFonts w:eastAsia="Times New Roman" w:cstheme="minorHAnsi"/>
          <w:sz w:val="24"/>
          <w:szCs w:val="24"/>
          <w:lang w:eastAsia="fr-FR"/>
        </w:rPr>
        <w:t xml:space="preserve">ée (apport de </w:t>
      </w:r>
      <w:r>
        <w:t>748 mg</w:t>
      </w:r>
      <w:r>
        <w:t xml:space="preserve"> </w:t>
      </w:r>
      <w:r w:rsidR="00F04818">
        <w:t xml:space="preserve">de Na </w:t>
      </w:r>
      <w:r>
        <w:t>par flacon de 5 g)</w:t>
      </w:r>
      <w:r w:rsidR="009616F6">
        <w:t>.</w:t>
      </w:r>
    </w:p>
    <w:p w:rsidR="00C560C1" w:rsidRDefault="00C560C1" w:rsidP="005A430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Hyponatrémie (dilution excessive dans le</w:t>
      </w:r>
      <w:r w:rsidR="009616F6">
        <w:rPr>
          <w:rFonts w:eastAsia="Times New Roman" w:cstheme="minorHAnsi"/>
          <w:sz w:val="24"/>
          <w:szCs w:val="24"/>
          <w:lang w:eastAsia="fr-FR"/>
        </w:rPr>
        <w:t xml:space="preserve"> Glucosé 5%)</w:t>
      </w:r>
      <w:r w:rsidRPr="00C560C1">
        <w:rPr>
          <w:rFonts w:eastAsia="Times New Roman" w:cstheme="minorHAnsi"/>
          <w:sz w:val="24"/>
          <w:szCs w:val="24"/>
          <w:lang w:eastAsia="fr-FR"/>
        </w:rPr>
        <w:t>.</w:t>
      </w:r>
    </w:p>
    <w:p w:rsidR="00C560C1" w:rsidRDefault="00C560C1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>
        <w:rPr>
          <w:rFonts w:eastAsia="Times New Roman" w:cstheme="minorHAnsi"/>
          <w:b/>
          <w:bCs/>
          <w:sz w:val="27"/>
          <w:szCs w:val="27"/>
          <w:lang w:eastAsia="fr-FR"/>
        </w:rPr>
        <w:t>7</w:t>
      </w:r>
      <w:r w:rsidRPr="00C560C1">
        <w:rPr>
          <w:rFonts w:eastAsia="Times New Roman" w:cstheme="minorHAnsi"/>
          <w:b/>
          <w:bCs/>
          <w:sz w:val="27"/>
          <w:szCs w:val="27"/>
          <w:lang w:eastAsia="fr-FR"/>
        </w:rPr>
        <w:t xml:space="preserve">. </w:t>
      </w:r>
      <w:r w:rsidR="009616F6">
        <w:rPr>
          <w:rFonts w:eastAsia="Times New Roman" w:cstheme="minorHAnsi"/>
          <w:b/>
          <w:bCs/>
          <w:sz w:val="27"/>
          <w:szCs w:val="27"/>
          <w:lang w:eastAsia="fr-FR"/>
        </w:rPr>
        <w:t>Coagulation</w:t>
      </w:r>
    </w:p>
    <w:p w:rsidR="009616F6" w:rsidRPr="00C560C1" w:rsidRDefault="009616F6" w:rsidP="005A430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Allongement du temps de Quick, diminution du TP et de l’INR.</w:t>
      </w:r>
    </w:p>
    <w:p w:rsidR="009616F6" w:rsidRPr="00C560C1" w:rsidRDefault="009616F6" w:rsidP="005A430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>
        <w:rPr>
          <w:rFonts w:eastAsia="Times New Roman" w:cstheme="minorHAnsi"/>
          <w:b/>
          <w:bCs/>
          <w:sz w:val="27"/>
          <w:szCs w:val="27"/>
          <w:lang w:eastAsia="fr-FR"/>
        </w:rPr>
        <w:t>8. Autres effets</w:t>
      </w:r>
    </w:p>
    <w:p w:rsidR="00C560C1" w:rsidRPr="00C560C1" w:rsidRDefault="00C560C1" w:rsidP="005A430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Fièvre.</w:t>
      </w:r>
    </w:p>
    <w:p w:rsidR="00C560C1" w:rsidRDefault="00C560C1" w:rsidP="005A430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560C1">
        <w:rPr>
          <w:rFonts w:eastAsia="Times New Roman" w:cstheme="minorHAnsi"/>
          <w:sz w:val="24"/>
          <w:szCs w:val="24"/>
          <w:lang w:eastAsia="fr-FR"/>
        </w:rPr>
        <w:t>Bouffées de chaleur.</w:t>
      </w:r>
    </w:p>
    <w:p w:rsidR="009616F6" w:rsidRDefault="009616F6" w:rsidP="005A430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Interférence avec le dosage des salicylates.</w:t>
      </w:r>
    </w:p>
    <w:p w:rsidR="009616F6" w:rsidRPr="00C560C1" w:rsidRDefault="009616F6" w:rsidP="005A430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Interférence avec le dosage de la cétonurie.</w:t>
      </w:r>
    </w:p>
    <w:p w:rsidR="005A4304" w:rsidRDefault="005A4304">
      <w:pPr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</w:p>
    <w:p w:rsidR="005A4304" w:rsidRDefault="005A4304">
      <w:pPr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</w:p>
    <w:p w:rsidR="005A4304" w:rsidRPr="00A60E4B" w:rsidRDefault="005A4304">
      <w:pPr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fr-FR"/>
        </w:rPr>
      </w:pPr>
      <w:bookmarkStart w:id="0" w:name="_GoBack"/>
      <w:r w:rsidRPr="00A60E4B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fr-FR"/>
        </w:rPr>
        <w:t xml:space="preserve">Références </w:t>
      </w:r>
    </w:p>
    <w:bookmarkEnd w:id="0"/>
    <w:p w:rsidR="005A4304" w:rsidRDefault="005A4304">
      <w:pP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Vidal</w:t>
      </w:r>
    </w:p>
    <w:p w:rsidR="00642874" w:rsidRDefault="005A4304">
      <w:pP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hyperlink r:id="rId6" w:history="1">
        <w:r w:rsidRPr="00AE5F1A">
          <w:rPr>
            <w:rStyle w:val="Lienhypertexte"/>
            <w:rFonts w:eastAsia="Times New Roman" w:cstheme="minorHAnsi"/>
            <w:b/>
            <w:bCs/>
            <w:sz w:val="24"/>
            <w:szCs w:val="24"/>
            <w:lang w:eastAsia="fr-FR"/>
          </w:rPr>
          <w:t>https://www.stabilis.org/Monographie.php?IdMolecule=487</w:t>
        </w:r>
      </w:hyperlink>
    </w:p>
    <w:p w:rsidR="005A4304" w:rsidRPr="005A4304" w:rsidRDefault="005A4304">
      <w:pPr>
        <w:rPr>
          <w:rFonts w:cstheme="minorHAnsi"/>
          <w:sz w:val="24"/>
          <w:szCs w:val="24"/>
        </w:rPr>
      </w:pPr>
      <w:hyperlink r:id="rId7" w:tgtFrame="_blank" w:history="1">
        <w:proofErr w:type="spellStart"/>
        <w:r w:rsidRPr="005A4304">
          <w:rPr>
            <w:rStyle w:val="Lienhypertexte"/>
            <w:rFonts w:ascii="Arial" w:hAnsi="Arial" w:cs="Arial"/>
            <w:sz w:val="21"/>
            <w:szCs w:val="21"/>
            <w:lang w:val="en-AU"/>
          </w:rPr>
          <w:t>Orban</w:t>
        </w:r>
        <w:proofErr w:type="spellEnd"/>
        <w:r w:rsidRPr="005A4304">
          <w:rPr>
            <w:rStyle w:val="Lienhypertexte"/>
            <w:rFonts w:ascii="Arial" w:hAnsi="Arial" w:cs="Arial"/>
            <w:sz w:val="21"/>
            <w:szCs w:val="21"/>
            <w:lang w:val="en-AU"/>
          </w:rPr>
          <w:t xml:space="preserve"> C</w:t>
        </w:r>
      </w:hyperlink>
      <w:r w:rsidRPr="005A4304">
        <w:rPr>
          <w:rFonts w:ascii="Arial" w:hAnsi="Arial" w:cs="Arial"/>
          <w:sz w:val="21"/>
          <w:szCs w:val="21"/>
          <w:lang w:val="en-AU"/>
        </w:rPr>
        <w:t>. No Significant Beneficial Effects of Intravenous N-Acetylcysteine on Patient Outcome in Non-Paracetamol Acute Liver Failure: A Meta-Analysis of Randomized Controlled Trials</w:t>
      </w:r>
      <w:r w:rsidRPr="005A4304">
        <w:rPr>
          <w:lang w:val="en-AU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Biomedicines</w:t>
      </w:r>
      <w:proofErr w:type="spellEnd"/>
      <w:r>
        <w:rPr>
          <w:rFonts w:ascii="Arial" w:hAnsi="Arial" w:cs="Arial"/>
          <w:sz w:val="21"/>
          <w:szCs w:val="21"/>
        </w:rPr>
        <w:t xml:space="preserve">. 2024 </w:t>
      </w:r>
      <w:proofErr w:type="spellStart"/>
      <w:r>
        <w:rPr>
          <w:rFonts w:ascii="Arial" w:hAnsi="Arial" w:cs="Arial"/>
          <w:sz w:val="21"/>
          <w:szCs w:val="21"/>
        </w:rPr>
        <w:t>Jul</w:t>
      </w:r>
      <w:proofErr w:type="spellEnd"/>
      <w:r>
        <w:rPr>
          <w:rFonts w:ascii="Arial" w:hAnsi="Arial" w:cs="Arial"/>
          <w:sz w:val="21"/>
          <w:szCs w:val="21"/>
        </w:rPr>
        <w:t xml:space="preserve"> 1;12(7):1462.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doi</w:t>
      </w:r>
      <w:proofErr w:type="spellEnd"/>
      <w:proofErr w:type="gramEnd"/>
      <w:r>
        <w:rPr>
          <w:rFonts w:ascii="Arial" w:hAnsi="Arial" w:cs="Arial"/>
          <w:sz w:val="21"/>
          <w:szCs w:val="21"/>
        </w:rPr>
        <w:t>: 10.3390/biomedicines12071462.</w:t>
      </w:r>
    </w:p>
    <w:sectPr w:rsidR="005A4304" w:rsidRPr="005A4304" w:rsidSect="0064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A4E"/>
    <w:multiLevelType w:val="multilevel"/>
    <w:tmpl w:val="6D0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51BAF"/>
    <w:multiLevelType w:val="multilevel"/>
    <w:tmpl w:val="624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74291"/>
    <w:multiLevelType w:val="multilevel"/>
    <w:tmpl w:val="EE2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7317C"/>
    <w:multiLevelType w:val="multilevel"/>
    <w:tmpl w:val="2F2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A36B5"/>
    <w:multiLevelType w:val="multilevel"/>
    <w:tmpl w:val="F06C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1519A"/>
    <w:multiLevelType w:val="multilevel"/>
    <w:tmpl w:val="930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74"/>
    <w:rsid w:val="005A4304"/>
    <w:rsid w:val="00616C9B"/>
    <w:rsid w:val="00635EC8"/>
    <w:rsid w:val="00642874"/>
    <w:rsid w:val="00782C9F"/>
    <w:rsid w:val="009616F6"/>
    <w:rsid w:val="009E5587"/>
    <w:rsid w:val="00A60E4B"/>
    <w:rsid w:val="00B72728"/>
    <w:rsid w:val="00C560C1"/>
    <w:rsid w:val="00D8073A"/>
    <w:rsid w:val="00F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F6"/>
  </w:style>
  <w:style w:type="paragraph" w:styleId="Titre3">
    <w:name w:val="heading 3"/>
    <w:basedOn w:val="Normal"/>
    <w:link w:val="Titre3Car"/>
    <w:uiPriority w:val="9"/>
    <w:qFormat/>
    <w:rsid w:val="00C56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560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560C1"/>
    <w:rPr>
      <w:b/>
      <w:bCs/>
    </w:rPr>
  </w:style>
  <w:style w:type="character" w:styleId="Lienhypertexte">
    <w:name w:val="Hyperlink"/>
    <w:basedOn w:val="Policepardfaut"/>
    <w:uiPriority w:val="99"/>
    <w:unhideWhenUsed/>
    <w:rsid w:val="005A4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F6"/>
  </w:style>
  <w:style w:type="paragraph" w:styleId="Titre3">
    <w:name w:val="heading 3"/>
    <w:basedOn w:val="Normal"/>
    <w:link w:val="Titre3Car"/>
    <w:uiPriority w:val="9"/>
    <w:qFormat/>
    <w:rsid w:val="00C56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560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560C1"/>
    <w:rPr>
      <w:b/>
      <w:bCs/>
    </w:rPr>
  </w:style>
  <w:style w:type="character" w:styleId="Lienhypertexte">
    <w:name w:val="Hyperlink"/>
    <w:basedOn w:val="Policepardfaut"/>
    <w:uiPriority w:val="99"/>
    <w:unhideWhenUsed/>
    <w:rsid w:val="005A4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mc.ncbi.nlm.nih.gov/articles/PMC11274394/pdf/biomedicines-12-014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bilis.org/Monographie.php?IdMolecule=4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HYVERNAT HERVE CHU Nice</dc:creator>
  <cp:lastModifiedBy>HYVERNAT HERVE CHU Nice</cp:lastModifiedBy>
  <cp:revision>11</cp:revision>
  <dcterms:created xsi:type="dcterms:W3CDTF">2025-01-15T10:24:00Z</dcterms:created>
  <dcterms:modified xsi:type="dcterms:W3CDTF">2025-01-15T14:53:00Z</dcterms:modified>
</cp:coreProperties>
</file>